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lang w:val="en-NZ"/>
        </w:rPr>
      </w:pPr>
      <w:r>
        <w:rPr>
          <w:b/>
          <w:bCs/>
          <w:lang w:val="en-NZ"/>
        </w:rPr>
        <w:t>Commentary on UK C</w:t>
      </w:r>
      <w:r>
        <w:rPr>
          <w:b/>
          <w:bCs/>
          <w:lang w:val="en-NZ"/>
        </w:rPr>
        <w:t xml:space="preserve">onversion </w:t>
      </w:r>
      <w:r>
        <w:rPr>
          <w:b/>
          <w:bCs/>
          <w:lang w:val="en-NZ"/>
        </w:rPr>
        <w:t>P</w:t>
      </w:r>
      <w:r>
        <w:rPr>
          <w:b/>
          <w:bCs/>
          <w:lang w:val="en-NZ"/>
        </w:rPr>
        <w:t xml:space="preserve">ractices </w:t>
      </w:r>
      <w:r>
        <w:rPr>
          <w:b/>
          <w:bCs/>
          <w:lang w:val="en-NZ"/>
        </w:rPr>
        <w:t>B</w:t>
      </w:r>
      <w:r>
        <w:rPr>
          <w:b/>
          <w:bCs/>
          <w:lang w:val="en-NZ"/>
        </w:rPr>
        <w:t>ill</w:t>
      </w:r>
      <w:r>
        <w:rPr>
          <w:b/>
          <w:bCs/>
          <w:lang w:val="en-NZ"/>
        </w:rPr>
        <w:t xml:space="preserve"> - Section 1 paragraph 3</w:t>
        <w:br/>
        <w:t>- Role of clinicians</w:t>
      </w:r>
    </w:p>
    <w:p>
      <w:pPr>
        <w:pStyle w:val="Normal"/>
        <w:rPr>
          <w:lang w:val="en-NZ"/>
        </w:rPr>
      </w:pPr>
      <w:bookmarkStart w:id="0" w:name="_MailOriginal"/>
      <w:r>
        <w:rPr>
          <w:lang w:val="en-NZ"/>
        </w:rPr>
        <w:t xml:space="preserve">New Zealand implemented </w:t>
      </w:r>
      <w:r>
        <w:fldChar w:fldCharType="begin"/>
      </w:r>
      <w:r>
        <w:rPr>
          <w:rStyle w:val="Hyperlink"/>
          <w:lang w:val="en-NZ"/>
        </w:rPr>
        <w:instrText xml:space="preserve"> HYPERLINK "https://www.legislation.govt.nz/act/public/2022/1/en/latest/" \l "LMS487215"</w:instrText>
      </w:r>
      <w:r>
        <w:rPr>
          <w:rStyle w:val="Hyperlink"/>
          <w:lang w:val="en-NZ"/>
        </w:rPr>
        <w:fldChar w:fldCharType="separate"/>
      </w:r>
      <w:r>
        <w:rPr>
          <w:rStyle w:val="Hyperlink"/>
          <w:lang w:val="en-NZ"/>
        </w:rPr>
        <w:t>a conversion practices law</w:t>
      </w:r>
      <w:r>
        <w:rPr>
          <w:rStyle w:val="Hyperlink"/>
          <w:lang w:val="en-NZ"/>
        </w:rPr>
        <w:fldChar w:fldCharType="end"/>
      </w:r>
      <w:r>
        <w:rPr>
          <w:lang w:val="en-NZ"/>
        </w:rPr>
        <w:t xml:space="preserve"> in 2022 that like the UK Bill covers sexual orientation and gender identity.</w:t>
      </w:r>
    </w:p>
    <w:p>
      <w:pPr>
        <w:pStyle w:val="Normal"/>
        <w:rPr>
          <w:lang w:val="en-NZ"/>
        </w:rPr>
      </w:pPr>
      <w:r>
        <w:rPr>
          <w:lang w:val="en-NZ"/>
        </w:rPr>
      </w:r>
    </w:p>
    <w:p>
      <w:pPr>
        <w:pStyle w:val="Normal"/>
        <w:rPr>
          <w:lang w:val="en-NZ"/>
        </w:rPr>
      </w:pPr>
      <w:r>
        <w:rPr>
          <w:lang w:val="en-NZ"/>
        </w:rPr>
        <w:t>Like the proposed UK legislation the NZ law draws a parallel between gender identity and sexual orientation as if they were both the same kind of civil rights issue.  That is not the case. There is recognition that gender identity is not fixed and the Cass Review showed that there were many routes into and out of a transgender identity.</w:t>
      </w:r>
    </w:p>
    <w:p>
      <w:pPr>
        <w:pStyle w:val="Normal"/>
        <w:rPr>
          <w:lang w:val="en-NZ"/>
        </w:rPr>
      </w:pPr>
      <w:r>
        <w:rPr/>
        <w:drawing>
          <wp:inline distT="0" distB="0" distL="0" distR="0">
            <wp:extent cx="5346700" cy="4032250"/>
            <wp:effectExtent l="0" t="0" r="0" b="0"/>
            <wp:docPr id="1" name="Pictur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title=""/>
                    <pic:cNvPicPr>
                      <a:picLocks noChangeAspect="1" noChangeArrowheads="1"/>
                    </pic:cNvPicPr>
                  </pic:nvPicPr>
                  <pic:blipFill>
                    <a:blip r:embed="rId2"/>
                    <a:stretch>
                      <a:fillRect/>
                    </a:stretch>
                  </pic:blipFill>
                  <pic:spPr bwMode="auto">
                    <a:xfrm>
                      <a:off x="0" y="0"/>
                      <a:ext cx="5346700" cy="4032250"/>
                    </a:xfrm>
                    <a:prstGeom prst="rect">
                      <a:avLst/>
                    </a:prstGeom>
                    <a:noFill/>
                  </pic:spPr>
                </pic:pic>
              </a:graphicData>
            </a:graphic>
          </wp:inline>
        </w:drawing>
      </w:r>
      <w:r>
        <w:rPr>
          <w:lang w:val="en-NZ"/>
        </w:rPr>
        <w:t xml:space="preserve"> </w:t>
      </w:r>
    </w:p>
    <w:p>
      <w:pPr>
        <w:pStyle w:val="Normal"/>
        <w:rPr>
          <w:i/>
          <w:i/>
          <w:iCs/>
        </w:rPr>
      </w:pPr>
      <w:r>
        <w:rPr>
          <w:i/>
          <w:iCs/>
          <w:lang w:val="en-NZ"/>
        </w:rPr>
        <w:t>Cass review – interim report.</w:t>
      </w:r>
    </w:p>
    <w:p>
      <w:pPr>
        <w:pStyle w:val="Normal"/>
        <w:rPr>
          <w:lang w:val="en-NZ"/>
        </w:rPr>
      </w:pPr>
      <w:r>
        <w:rPr>
          <w:lang w:val="en-NZ"/>
        </w:rPr>
      </w:r>
    </w:p>
    <w:p>
      <w:pPr>
        <w:pStyle w:val="Normal"/>
        <w:rPr>
          <w:lang w:val="en-NZ"/>
        </w:rPr>
      </w:pPr>
      <w:r>
        <w:rPr>
          <w:lang w:val="en-NZ"/>
        </w:rPr>
        <w:t>The UK draft law Section 1 paragraph 3 implies that providing health care services with the usual expectations of differential diagnosis is possible. Similar provisions are in NZ law.</w:t>
      </w:r>
    </w:p>
    <w:p>
      <w:pPr>
        <w:pStyle w:val="Normal"/>
        <w:rPr>
          <w:lang w:val="en-NZ"/>
        </w:rPr>
      </w:pPr>
      <w:r>
        <w:rPr>
          <w:lang w:val="en-NZ"/>
        </w:rPr>
        <w:t xml:space="preserve">The UK bill  states in section 1 para 3 that </w:t>
      </w:r>
    </w:p>
    <w:p>
      <w:pPr>
        <w:pStyle w:val="Normal"/>
        <w:rPr>
          <w:lang w:val="en-NZ"/>
        </w:rPr>
      </w:pPr>
      <w:r>
        <w:rPr>
          <w:lang w:val="en-NZ"/>
        </w:rPr>
        <w:t>(3) Conduct which—</w:t>
      </w:r>
    </w:p>
    <w:p>
      <w:pPr>
        <w:pStyle w:val="Normal"/>
        <w:rPr>
          <w:lang w:val="en-NZ"/>
        </w:rPr>
      </w:pPr>
      <w:r>
        <w:rPr>
          <w:lang w:val="en-NZ"/>
        </w:rPr>
        <w:t>(a) is carried out by a person towards an individual with such an intention, but</w:t>
      </w:r>
    </w:p>
    <w:p>
      <w:pPr>
        <w:pStyle w:val="Normal"/>
        <w:rPr>
          <w:lang w:val="en-NZ"/>
        </w:rPr>
      </w:pPr>
      <w:r>
        <w:rPr>
          <w:lang w:val="en-NZ"/>
        </w:rPr>
        <w:t>(b) is carried out in the course of providing health care services to the individual concerned,</w:t>
      </w:r>
    </w:p>
    <w:p>
      <w:pPr>
        <w:pStyle w:val="Normal"/>
        <w:rPr>
          <w:lang w:val="en-NZ"/>
        </w:rPr>
      </w:pPr>
      <w:r>
        <w:rPr>
          <w:lang w:val="en-NZ"/>
        </w:rPr>
        <w:t>is not a conversion practice unless the person acts in a way that falls far below the standards reasonably expected of a person in their position.</w:t>
      </w:r>
    </w:p>
    <w:p>
      <w:pPr>
        <w:pStyle w:val="Normal"/>
        <w:rPr>
          <w:lang w:val="en-NZ"/>
        </w:rPr>
      </w:pPr>
      <w:r>
        <w:rPr>
          <w:lang w:val="en-NZ"/>
        </w:rPr>
      </w:r>
    </w:p>
    <w:p>
      <w:pPr>
        <w:pStyle w:val="Normal"/>
        <w:rPr>
          <w:lang w:val="en-NZ"/>
        </w:rPr>
      </w:pPr>
      <w:r>
        <w:rPr>
          <w:lang w:val="en-NZ"/>
        </w:rPr>
        <w:t> </w:t>
      </w:r>
      <w:r>
        <w:rPr>
          <w:lang w:val="en-NZ"/>
        </w:rPr>
        <w:t>Readers would infer that providing health care services with the usual expectations of differential diagnosis is possible but that is not what has happened in New Zealand</w:t>
      </w:r>
    </w:p>
    <w:p>
      <w:pPr>
        <w:pStyle w:val="Normal"/>
        <w:rPr>
          <w:lang w:val="en-NZ"/>
        </w:rPr>
      </w:pPr>
      <w:r>
        <w:rPr>
          <w:lang w:val="en-NZ"/>
        </w:rPr>
        <w:t> </w:t>
      </w:r>
    </w:p>
    <w:p>
      <w:pPr>
        <w:pStyle w:val="Normal"/>
        <w:rPr>
          <w:lang w:val="en-NZ"/>
        </w:rPr>
      </w:pPr>
      <w:r>
        <w:rPr>
          <w:lang w:val="en-NZ"/>
        </w:rPr>
        <w:t>The experience from New Zealand a Conversion Practices Prohibition Legislation has been that it acted as a spur to more and more extreme embedding of gender medicine and for this medicine to be carried out without proper informed consent or oversight. I argue that this is a significant risk for the UK too and will only succeed in re-embedding approaches to medicine that since the Keira Bell case ther NHS has worked carefully to retreat from.</w:t>
      </w:r>
    </w:p>
    <w:p>
      <w:pPr>
        <w:pStyle w:val="Normal"/>
        <w:rPr>
          <w:lang w:val="en-NZ"/>
        </w:rPr>
      </w:pPr>
      <w:r>
        <w:rPr>
          <w:lang w:val="en-NZ"/>
        </w:rPr>
        <w:t> </w:t>
      </w:r>
    </w:p>
    <w:p>
      <w:pPr>
        <w:pStyle w:val="Normal"/>
        <w:rPr>
          <w:lang w:val="en-NZ"/>
        </w:rPr>
      </w:pPr>
      <w:r>
        <w:rPr>
          <w:lang w:val="en-NZ"/>
        </w:rPr>
        <w:t>It has been very easy for activist medical organisations who support the medical transition and the affirmative care of transgender people to take their organisations beyond the intent of the New Zealand Conversion Practices Prohibition Law. This is the danger for a UK law too I believe. In NZ these changes have made it impossible for clinicians to take an exploratory approach when working with gender confused children, young people and vulnerable adults.  Evidence is provided below giving  examples  of how this has happened.</w:t>
      </w:r>
    </w:p>
    <w:p>
      <w:pPr>
        <w:pStyle w:val="Normal"/>
        <w:rPr>
          <w:lang w:val="en-NZ"/>
        </w:rPr>
      </w:pPr>
      <w:r>
        <w:rPr>
          <w:lang w:val="en-NZ"/>
        </w:rPr>
      </w:r>
    </w:p>
    <w:p>
      <w:pPr>
        <w:pStyle w:val="Normal"/>
        <w:rPr>
          <w:lang w:val="en-NZ"/>
        </w:rPr>
      </w:pPr>
      <w:r>
        <w:rPr>
          <w:lang w:val="en-NZ"/>
        </w:rPr>
        <w:t>These initiatives have been taken in medical regulatory bodies and membership organisations on the basis that they are complying with the law.  However new guidance has chilled the ability of clinicians to do other than affirm the transgender identity of a person before them.  This is despite the recognition by the NZ Ministry of Health that careful assessment is required especially for treating children and young people. </w:t>
      </w:r>
    </w:p>
    <w:p>
      <w:pPr>
        <w:pStyle w:val="Normal"/>
        <w:rPr>
          <w:lang w:val="en-NZ"/>
        </w:rPr>
      </w:pPr>
      <w:r>
        <w:rPr>
          <w:lang w:val="en-NZ"/>
        </w:rPr>
      </w:r>
    </w:p>
    <w:p>
      <w:pPr>
        <w:pStyle w:val="Normal"/>
        <w:rPr>
          <w:lang w:val="en-NZ"/>
        </w:rPr>
      </w:pPr>
      <w:r>
        <w:rPr>
          <w:lang w:val="en-NZ"/>
        </w:rPr>
        <w:t xml:space="preserve">To understand how this has happened consider the incredible institutional power of the transgender lobby and the bullying of people who have raised concerns. In the UK Hannah Barnes </w:t>
      </w:r>
      <w:hyperlink r:id="rId3">
        <w:r>
          <w:rPr>
            <w:rStyle w:val="Hyperlink"/>
            <w:i/>
            <w:iCs/>
            <w:lang w:val="en-NZ"/>
          </w:rPr>
          <w:t>Time to Think</w:t>
        </w:r>
      </w:hyperlink>
      <w:r>
        <w:rPr>
          <w:lang w:val="en-NZ"/>
        </w:rPr>
        <w:t xml:space="preserve"> detailed how before the judicial review of Gender Medicine where Keira Bell was the complainant took place only after a decade of whistleblowers raising concerns which were ignored. The same has been true of employment tribunals taken by </w:t>
      </w:r>
      <w:hyperlink r:id="rId4">
        <w:r>
          <w:rPr>
            <w:rStyle w:val="Hyperlink"/>
            <w:lang w:val="en-NZ"/>
          </w:rPr>
          <w:t>Dr Sonya Appleby</w:t>
        </w:r>
      </w:hyperlink>
      <w:r>
        <w:rPr>
          <w:lang w:val="en-NZ"/>
        </w:rPr>
        <w:t xml:space="preserve"> and </w:t>
      </w:r>
      <w:hyperlink r:id="rId5">
        <w:r>
          <w:rPr>
            <w:rStyle w:val="Hyperlink"/>
            <w:lang w:val="en-NZ"/>
          </w:rPr>
          <w:t>Dr Sarah Redvers</w:t>
        </w:r>
      </w:hyperlink>
      <w:r>
        <w:rPr>
          <w:lang w:val="en-NZ"/>
        </w:rPr>
        <w:t xml:space="preserve">  who both held safeguarding rules in the NHS. Neither of them were able to carry out these roles without intimidation.  The </w:t>
      </w:r>
      <w:hyperlink r:id="rId6">
        <w:r>
          <w:rPr>
            <w:rStyle w:val="Hyperlink"/>
            <w:lang w:val="en-NZ"/>
          </w:rPr>
          <w:t>summing up</w:t>
        </w:r>
      </w:hyperlink>
      <w:r>
        <w:rPr>
          <w:lang w:val="en-NZ"/>
        </w:rPr>
        <w:t xml:space="preserve"> in case taken by Sandie Peggie against her union The Royal College of Nursing is instructive. Even the venue for the trial was changed to prevent threats of witness and judge intimidation.  Each case has demonstrated the how activist agendas and the power to claim "transphobia" have left institutions vulnerable to ideological shifts in favour of gender ideology.  It is possible to consider how those cases would have played out with a conversion practices law in place.  Doctors may have been criminalised for their “intrusive interest” in their colleague’s standards of care.</w:t>
      </w:r>
    </w:p>
    <w:p>
      <w:pPr>
        <w:pStyle w:val="Normal"/>
        <w:rPr>
          <w:lang w:val="en-NZ"/>
        </w:rPr>
      </w:pPr>
      <w:r>
        <w:rPr>
          <w:lang w:val="en-NZ"/>
        </w:rPr>
        <w:t> </w:t>
      </w:r>
    </w:p>
    <w:p>
      <w:pPr>
        <w:pStyle w:val="Normal"/>
        <w:rPr>
          <w:lang w:val="en-NZ"/>
        </w:rPr>
      </w:pPr>
      <w:r>
        <w:rPr>
          <w:lang w:val="en-NZ"/>
        </w:rPr>
        <w:t>In New Zealand the clinical organisations that favour “affirmative care”, the kind provided for in WPATH SOC 8, have created clinician guidance that goes well beyond the wording of the law and this is preventing the careful treatment including of minors that the law intended.</w:t>
      </w:r>
    </w:p>
    <w:p>
      <w:pPr>
        <w:pStyle w:val="Normal"/>
        <w:rPr>
          <w:lang w:val="en-NZ"/>
        </w:rPr>
      </w:pPr>
      <w:r>
        <w:rPr>
          <w:lang w:val="en-NZ"/>
        </w:rPr>
      </w:r>
    </w:p>
    <w:p>
      <w:pPr>
        <w:pStyle w:val="Normal"/>
        <w:rPr>
          <w:lang w:val="en-NZ"/>
        </w:rPr>
      </w:pPr>
      <w:r>
        <w:rPr>
          <w:lang w:val="en-NZ"/>
        </w:rPr>
        <w:t>The New Zealand Conversion Practices Prohibition Law has  similar provisions to the UK Bill allowing clinicians to treat gender confusion provided they comply with all ethical, legal and professional boundaries when providing care. (This phrasing in itself was a limitation of the scope of practice. For those in psychotherapy for example which explicitly allows psychotherapists  exploration of causation between the client and patient.)   </w:t>
      </w:r>
    </w:p>
    <w:p>
      <w:pPr>
        <w:pStyle w:val="Normal"/>
        <w:rPr>
          <w:lang w:val="en-NZ"/>
        </w:rPr>
      </w:pPr>
      <w:r>
        <w:rPr>
          <w:lang w:val="en-NZ"/>
        </w:rPr>
      </w:r>
    </w:p>
    <w:p>
      <w:pPr>
        <w:pStyle w:val="Normal"/>
        <w:rPr>
          <w:lang w:val="en-NZ"/>
        </w:rPr>
      </w:pPr>
      <w:r>
        <w:rPr>
          <w:lang w:val="en-NZ"/>
        </w:rPr>
        <w:t>Several, in fact most, New Zealand medical bodies had already adopted “affirmative” protocols for gender medicine treatment.  Since the law was passed  these protocols have been strengthened and made more explicit and more extreme. These mean that (in the light of the new law) it is now an offence against the psychotherapists registration board to  to affirm “</w:t>
      </w:r>
      <w:hyperlink r:id="rId7">
        <w:r>
          <w:rPr>
            <w:rStyle w:val="Hyperlink"/>
            <w:lang w:val="en-NZ"/>
          </w:rPr>
          <w:t>affirm</w:t>
        </w:r>
      </w:hyperlink>
      <w:r>
        <w:rPr>
          <w:lang w:val="en-NZ"/>
        </w:rPr>
        <w:t xml:space="preserve"> diverse expressions of identity including takatāpui, gender</w:t>
      </w:r>
    </w:p>
    <w:p>
      <w:pPr>
        <w:pStyle w:val="Normal"/>
        <w:rPr>
          <w:lang w:val="en-NZ"/>
        </w:rPr>
      </w:pPr>
      <w:r>
        <w:rPr>
          <w:lang w:val="en-NZ"/>
        </w:rPr>
        <w:t>diversity” rather than to provide exploratory care or to carry out a differential diagnosis for someone who has adopted a transgender identity. New conditions like these make it difficult to withhold medical treatment even if the clinician does not believe it is in the best interests of the patient.   The result is that, for example, a counsellor providing health services to an individual could be assessed by their professional body as “falling below the standards reasonably expected” of their professional association if they seek to help the individual understand the origins of their gender identity identification.  This could be a problem in the UK for doctors since  BMA sets the standards for doctors but did not adopt the recommendations of the Cass Review for several years and held out for affirmative only approaches.</w:t>
      </w:r>
    </w:p>
    <w:p>
      <w:pPr>
        <w:pStyle w:val="Normal"/>
        <w:rPr>
          <w:lang w:val="en-NZ"/>
        </w:rPr>
      </w:pPr>
      <w:r>
        <w:rPr>
          <w:lang w:val="en-NZ"/>
        </w:rPr>
      </w:r>
    </w:p>
    <w:p>
      <w:pPr>
        <w:pStyle w:val="Normal"/>
        <w:rPr>
          <w:lang w:val="en-NZ"/>
        </w:rPr>
      </w:pPr>
      <w:r>
        <w:rPr>
          <w:lang w:val="en-NZ"/>
        </w:rPr>
        <w:t xml:space="preserve">New Zealand’s Conversion Practices Prohibition Legislation Act 2022  states that for transgender identifying patients  “facilitating an individual’s coping skills, development, or identity exploration, or facilitating social support for the individual” </w:t>
      </w:r>
      <w:r>
        <w:fldChar w:fldCharType="begin"/>
      </w:r>
      <w:r>
        <w:rPr>
          <w:rStyle w:val="Hyperlink"/>
          <w:lang w:val="en-NZ"/>
        </w:rPr>
        <w:instrText xml:space="preserve"> HYPERLINK "https://www.legislation.govt.nz/act/public/2022/1/en/latest/" \l "LMS487215"</w:instrText>
      </w:r>
      <w:r>
        <w:rPr>
          <w:rStyle w:val="Hyperlink"/>
          <w:lang w:val="en-NZ"/>
        </w:rPr>
        <w:fldChar w:fldCharType="separate"/>
      </w:r>
      <w:r>
        <w:rPr>
          <w:rStyle w:val="Hyperlink"/>
          <w:lang w:val="en-NZ"/>
        </w:rPr>
        <w:t>does not constitute a conversion practice</w:t>
      </w:r>
      <w:r>
        <w:rPr>
          <w:rStyle w:val="Hyperlink"/>
          <w:lang w:val="en-NZ"/>
        </w:rPr>
        <w:fldChar w:fldCharType="end"/>
      </w:r>
      <w:r>
        <w:rPr>
          <w:lang w:val="en-NZ"/>
        </w:rPr>
        <w:t xml:space="preserve"> (section 5(2)(e)).  The impact of this has been to provide preference to transgender identities over gay and lesbian identities because there is no corresponding requirement to facilitate the lesbian and gay identities of patients by helping them find self-acceptance and overcoming internalised homophobia.  Even without this wording in the UK bill the same prioritisation of gender identity over sexual orientation would apply.  The Tavistock clinic's doctors reported how </w:t>
      </w:r>
      <w:hyperlink r:id="rId8">
        <w:r>
          <w:rPr>
            <w:rStyle w:val="Hyperlink"/>
            <w:lang w:val="en-NZ"/>
          </w:rPr>
          <w:t>sexuality was overridden</w:t>
        </w:r>
      </w:hyperlink>
      <w:r>
        <w:rPr>
          <w:lang w:val="en-NZ"/>
        </w:rPr>
        <w:t xml:space="preserve"> by gender identity if it is in play. There is no reason to think this prioritisation would not become policy if the law  comes into force. The preference for gender identity over sexual orientation  also arises because in practice gender can be raised as an issue with prepubertal children but exploring their sexuality would be unethical. However ,since the majority of gay and lesbian adults were gender non-conforming children this is to interfere in the natural course of development.   The bill   is effectively a conversion practice against gay and lesbian clients or children who would otherwise be likely to become gay or lesbian adults..</w:t>
      </w:r>
    </w:p>
    <w:p>
      <w:pPr>
        <w:pStyle w:val="Normal"/>
        <w:rPr>
          <w:lang w:val="en-NZ"/>
        </w:rPr>
      </w:pPr>
      <w:r>
        <w:rPr>
          <w:lang w:val="en-NZ"/>
        </w:rPr>
      </w:r>
    </w:p>
    <w:p>
      <w:pPr>
        <w:pStyle w:val="Normal"/>
        <w:rPr>
          <w:b/>
          <w:bCs/>
          <w:color w:val="2A6099"/>
        </w:rPr>
      </w:pPr>
      <w:r>
        <w:rPr>
          <w:b/>
          <w:bCs/>
          <w:color w:val="2A6099"/>
          <w:lang w:val="en-NZ"/>
        </w:rPr>
        <w:t>What follows are examples of New Zealand that have embedded a gender identity preference in medicine following the passage of the NZ legislation.</w:t>
      </w:r>
    </w:p>
    <w:p>
      <w:pPr>
        <w:pStyle w:val="Normal"/>
        <w:rPr>
          <w:lang w:val="en-NZ"/>
        </w:rPr>
      </w:pPr>
      <w:r>
        <w:rPr>
          <w:lang w:val="en-NZ"/>
        </w:rPr>
      </w:r>
    </w:p>
    <w:p>
      <w:pPr>
        <w:pStyle w:val="Normal"/>
        <w:rPr>
          <w:lang w:val="en-NZ"/>
        </w:rPr>
      </w:pPr>
      <w:r>
        <w:rPr>
          <w:b/>
          <w:bCs/>
          <w:lang w:val="en-NZ"/>
        </w:rPr>
        <w:t>Example 1</w:t>
      </w:r>
      <w:r>
        <w:rPr>
          <w:lang w:val="en-NZ"/>
        </w:rPr>
        <w:t xml:space="preserve">.   I attach a news story of a NZ counsellor who was attacked by his colleagues and investigated by his regulatory body as being guilty of a conversion practice.  The counsellor of many years standing faced a complaint by 21 colleagues because he referenced the Cass report in his discussions about treatment. He has faced a professional investigation over more than a year </w:t>
      </w:r>
      <w:r>
        <w:rPr>
          <w:lang w:val="en-NZ"/>
        </w:rPr>
        <w:t xml:space="preserve">(see </w:t>
      </w:r>
      <w:hyperlink r:id="rId9">
        <w:r>
          <w:rPr>
            <w:rStyle w:val="Hyperlink"/>
            <w:lang w:val="en-NZ"/>
          </w:rPr>
          <w:t>https://03a125f3-951c-480b-9211-a4f40de67b57.usrfiles.com/ugd/03a125_dc3f6273551c4926bb34e4aef4c646d5.pdf</w:t>
        </w:r>
      </w:hyperlink>
      <w:r>
        <w:rPr>
          <w:lang w:val="en-NZ"/>
        </w:rPr>
        <w:t xml:space="preserve">  )</w:t>
      </w:r>
      <w:r>
        <w:rPr>
          <w:lang w:val="en-NZ"/>
        </w:rPr>
        <w:t> </w:t>
      </w:r>
    </w:p>
    <w:p>
      <w:pPr>
        <w:pStyle w:val="Normal"/>
        <w:rPr>
          <w:lang w:val="en-NZ"/>
        </w:rPr>
      </w:pPr>
      <w:r>
        <w:rPr>
          <w:lang w:val="en-NZ"/>
        </w:rPr>
      </w:r>
    </w:p>
    <w:p>
      <w:pPr>
        <w:pStyle w:val="Normal"/>
        <w:rPr>
          <w:lang w:val="en-NZ"/>
        </w:rPr>
      </w:pPr>
      <w:r>
        <w:rPr>
          <w:b/>
          <w:bCs/>
          <w:lang w:val="en-NZ"/>
        </w:rPr>
        <w:t>Example 2</w:t>
      </w:r>
      <w:r>
        <w:rPr>
          <w:lang w:val="en-NZ"/>
        </w:rPr>
        <w:t xml:space="preserve">. I attach the report of the Association of Psychotherapists Aotearoa New Zealand which took the view that “withholding gender affirming care” is a conversion practice and that not carrying out  “affirmative approaches” to care  is equivalent to being a “SOGICE” or a gender identity change effort. </w:t>
      </w:r>
      <w:r>
        <w:rPr>
          <w:lang w:val="en-NZ"/>
        </w:rPr>
        <w:t xml:space="preserve">(See </w:t>
      </w:r>
      <w:hyperlink r:id="rId10">
        <w:r>
          <w:rPr>
            <w:rStyle w:val="Hyperlink"/>
            <w:lang w:val="en-NZ"/>
          </w:rPr>
          <w:t>https://03a125f3-951c-480b-9211-a4f40de67b57.usrfiles.com/ugd/03a125_f105702b57dd4866b8cd918e9e9700a3.pdf</w:t>
        </w:r>
      </w:hyperlink>
      <w:r>
        <w:rPr>
          <w:lang w:val="en-NZ"/>
        </w:rPr>
        <w:t xml:space="preserve"> ) </w:t>
      </w:r>
    </w:p>
    <w:p>
      <w:pPr>
        <w:pStyle w:val="Normal"/>
        <w:rPr>
          <w:lang w:val="en-NZ"/>
        </w:rPr>
      </w:pPr>
      <w:r>
        <w:rPr>
          <w:lang w:val="en-NZ"/>
        </w:rPr>
        <w:t> </w:t>
      </w:r>
    </w:p>
    <w:p>
      <w:pPr>
        <w:pStyle w:val="Normal"/>
        <w:rPr>
          <w:lang w:val="en-NZ"/>
        </w:rPr>
      </w:pPr>
      <w:r>
        <w:rPr>
          <w:b/>
          <w:bCs/>
          <w:lang w:val="en-NZ"/>
        </w:rPr>
        <w:t>Example 3</w:t>
      </w:r>
      <w:r>
        <w:rPr>
          <w:lang w:val="en-NZ"/>
        </w:rPr>
        <w:t xml:space="preserve">. The 2021 article </w:t>
      </w:r>
      <w:r>
        <w:rPr>
          <w:i/>
          <w:iCs/>
          <w:lang w:val="en-NZ"/>
        </w:rPr>
        <w:t>One size does not fit all: In support of psychotherapy for gender dysphoria</w:t>
      </w:r>
      <w:r>
        <w:rPr>
          <w:lang w:val="en-NZ"/>
        </w:rPr>
        <w:t xml:space="preserve"> available here </w:t>
      </w:r>
      <w:hyperlink r:id="rId11">
        <w:r>
          <w:rPr>
            <w:rStyle w:val="Hyperlink"/>
            <w:lang w:val="en-NZ"/>
          </w:rPr>
          <w:t>https://doi.org/10.1007/s10508-020-01844-2</w:t>
        </w:r>
      </w:hyperlink>
      <w:r>
        <w:rPr>
          <w:lang w:val="en-NZ"/>
        </w:rPr>
        <w:t xml:space="preserve">  and attached above  explains how activist clinicians (of the kind who worked at the Tavistock Clinic) have allowed ethical care to be confused with a conversion practice because ethical care does not involve automatic affirmation. </w:t>
      </w:r>
      <w:r>
        <w:rPr>
          <w:lang w:val="en-NZ"/>
        </w:rPr>
        <w:t xml:space="preserve">(Also the file is stored locally here: </w:t>
      </w:r>
      <w:hyperlink r:id="rId12">
        <w:r>
          <w:rPr>
            <w:rStyle w:val="Hyperlink"/>
            <w:lang w:val="en-NZ"/>
          </w:rPr>
          <w:t>https://03a125f3-951c-480b-9211-a4f40de67b57.usrfiles.com/ugd/03a125_dc3f6273551c4926bb34e4aef4c646d5.pdf</w:t>
        </w:r>
      </w:hyperlink>
      <w:r>
        <w:rPr>
          <w:lang w:val="en-NZ"/>
        </w:rPr>
        <w:t xml:space="preserve"> )</w:t>
      </w:r>
    </w:p>
    <w:p>
      <w:pPr>
        <w:pStyle w:val="Normal"/>
        <w:rPr>
          <w:lang w:val="en-NZ"/>
        </w:rPr>
      </w:pPr>
      <w:r>
        <w:rPr>
          <w:lang w:val="en-NZ"/>
        </w:rPr>
      </w:r>
    </w:p>
    <w:p>
      <w:pPr>
        <w:pStyle w:val="Normal"/>
        <w:rPr>
          <w:lang w:val="en-NZ"/>
        </w:rPr>
      </w:pPr>
      <w:r>
        <w:rPr>
          <w:b/>
          <w:bCs/>
          <w:lang w:val="en-NZ"/>
        </w:rPr>
        <w:t>Example 4.</w:t>
      </w:r>
      <w:r>
        <w:rPr>
          <w:lang w:val="en-NZ"/>
        </w:rPr>
        <w:t xml:space="preserve">   Journalist Leah Panapa talks to former counsellor Ann Elborn about the backlash she faced after questioning gender-affirming care. See </w:t>
      </w:r>
      <w:hyperlink r:id="rId13">
        <w:r>
          <w:rPr>
            <w:rStyle w:val="Hyperlink"/>
            <w:lang w:val="en-NZ"/>
          </w:rPr>
          <w:t>https://www.youtube.com/watch?v=9BHdEIsS_zk</w:t>
        </w:r>
      </w:hyperlink>
    </w:p>
    <w:p>
      <w:pPr>
        <w:pStyle w:val="Normal"/>
        <w:rPr>
          <w:lang w:val="en-NZ"/>
        </w:rPr>
      </w:pPr>
      <w:r>
        <w:rPr>
          <w:lang w:val="en-NZ"/>
        </w:rPr>
      </w:r>
    </w:p>
    <w:p>
      <w:pPr>
        <w:pStyle w:val="Normal"/>
        <w:rPr>
          <w:lang w:val="en-NZ"/>
        </w:rPr>
      </w:pPr>
      <w:r>
        <w:rPr>
          <w:b/>
          <w:bCs/>
          <w:lang w:val="en-NZ"/>
        </w:rPr>
        <w:t>Example 5.</w:t>
      </w:r>
      <w:r>
        <w:rPr>
          <w:lang w:val="en-NZ"/>
        </w:rPr>
        <w:t xml:space="preserve"> NZ Guidelines for clinicians have become far more extremely “affirmative” time.  The summary in </w:t>
      </w:r>
      <w:r>
        <w:rPr>
          <w:i/>
          <w:iCs/>
          <w:lang w:val="en-NZ"/>
        </w:rPr>
        <w:t>Evolving national guidelines for the treatment of children and adolescents with gender dysphoria: International perspectives</w:t>
      </w:r>
      <w:r>
        <w:rPr>
          <w:lang w:val="en-NZ"/>
        </w:rPr>
        <w:t xml:space="preserve"> showed that between 2012 and 2018 New Zealand guidelines  were changed to respect the self-determination of each person as being the expert on their experience” (p. 22) (</w:t>
      </w:r>
      <w:r>
        <w:fldChar w:fldCharType="begin"/>
      </w:r>
      <w:r>
        <w:rPr>
          <w:rStyle w:val="Hyperlink"/>
          <w:lang w:val="en-NZ"/>
        </w:rPr>
        <w:instrText xml:space="preserve"> HYPERLINK "https://journals.sagepub.com/reader/content/19616d6b398/10.1177/26344041241269298/format/epub/EPUB/xhtml/index.xhtml?hmac=1791936235-kTDarjMGx0wJDQKfaIxTG7coj6vD5WahHly3KQuyF8w%3D" \l "bibr206-26344041241269298"</w:instrText>
      </w:r>
      <w:r>
        <w:rPr>
          <w:rStyle w:val="Hyperlink"/>
          <w:lang w:val="en-NZ"/>
        </w:rPr>
        <w:fldChar w:fldCharType="separate"/>
      </w:r>
      <w:r>
        <w:rPr>
          <w:rStyle w:val="Hyperlink"/>
          <w:lang w:val="en-NZ"/>
        </w:rPr>
        <w:t>PATHA, 2018</w:t>
      </w:r>
      <w:r>
        <w:rPr>
          <w:rStyle w:val="Hyperlink"/>
          <w:lang w:val="en-NZ"/>
        </w:rPr>
        <w:fldChar w:fldCharType="end"/>
      </w:r>
      <w:r>
        <w:rPr>
          <w:lang w:val="en-NZ"/>
        </w:rPr>
        <w:t xml:space="preserve">). Compared to the Ministry of Health’s 2011 guidelines, the guidelines published in 2018 downplay the likelihood that gender dysphoric children will desist or that the majority of them would become gay and lesbian adults. </w:t>
      </w:r>
      <w:hyperlink r:id="rId14">
        <w:r>
          <w:rPr>
            <w:rStyle w:val="Hyperlink"/>
            <w:lang w:val="en-NZ"/>
          </w:rPr>
          <w:t>https://journals.sagepub.com/doi/full/10.1177/26344041241269298</w:t>
        </w:r>
      </w:hyperlink>
      <w:r>
        <w:rPr>
          <w:lang w:val="en-NZ"/>
        </w:rPr>
        <w:t xml:space="preserve"> PATHA have </w:t>
      </w:r>
      <w:hyperlink r:id="rId15">
        <w:r>
          <w:rPr>
            <w:rStyle w:val="Hyperlink"/>
            <w:lang w:val="en-NZ"/>
          </w:rPr>
          <w:t>released their 2025 guidelines</w:t>
        </w:r>
      </w:hyperlink>
      <w:r>
        <w:rPr>
          <w:lang w:val="en-NZ"/>
        </w:rPr>
        <w:t xml:space="preserve"> with health department branding even though they were withheld by the Minister and some health practices report that they are following these non-endorsed guidelines.</w:t>
      </w:r>
    </w:p>
    <w:p>
      <w:pPr>
        <w:pStyle w:val="Normal"/>
        <w:rPr>
          <w:lang w:val="en-NZ"/>
        </w:rPr>
      </w:pPr>
      <w:r>
        <w:rPr>
          <w:lang w:val="en-NZ"/>
        </w:rPr>
      </w:r>
    </w:p>
    <w:p>
      <w:pPr>
        <w:pStyle w:val="Normal"/>
        <w:rPr>
          <w:lang w:val="en-NZ"/>
        </w:rPr>
      </w:pPr>
      <w:r>
        <w:rPr>
          <w:b/>
          <w:bCs/>
          <w:lang w:val="en-NZ"/>
        </w:rPr>
        <w:t>Example 6</w:t>
      </w:r>
      <w:r>
        <w:rPr>
          <w:lang w:val="en-NZ"/>
        </w:rPr>
        <w:t xml:space="preserve">. Following the NZ Conversion Practices law new guidance was created for clinicians allowing for careless treatment in the provision of cross sex hormones and other adult treatment and  because of the law (and New Zealand’s no fault legislation that covers medical procedures) could never face censure.  The </w:t>
      </w:r>
      <w:hyperlink r:id="rId16">
        <w:r>
          <w:rPr>
            <w:rStyle w:val="Hyperlink"/>
            <w:lang w:val="en-NZ"/>
          </w:rPr>
          <w:t xml:space="preserve">new guidelines </w:t>
        </w:r>
      </w:hyperlink>
      <w:r>
        <w:rPr>
          <w:lang w:val="en-NZ"/>
        </w:rPr>
        <w:t xml:space="preserve"> removed the requirement for a diagnosis of gender dysphoria and saying  “It is not the role of a health professional to make a judgement on whether a patient’s gender (e.g., a non-binary gender) is valid or whether a patient is male or female enough” (p. 1). The guidelines remove the requirement for a mental health assessment. Another new aspect is to acknowledge the phenomenon of detransitioning, while reassuring doctors that it is not their problem if a patient later regrets treatment: “Some providers may feel anxious about ‘getting it wrong’ or worry that their patient may later regret their decision. The guidelines explicitly state that “detransition is not the same as regret” although it is frequently associated with regret. The informed consent process outlined in this document respects the autonomy of the patient as a competent adult who has the capacity to make their own decisions about their body and health once they have been given the necessary information” (p. 32). If the patient decides to stop hormones, “This is not—and should not—be viewed as a mistake or a failure” (p. 32).See </w:t>
      </w:r>
      <w:hyperlink r:id="rId17">
        <w:r>
          <w:rPr>
            <w:rStyle w:val="Hyperlink"/>
            <w:lang w:val="en-NZ"/>
          </w:rPr>
          <w:t>https://journals.sagepub.com/doi/full/10.1177/26344041241269298</w:t>
        </w:r>
      </w:hyperlink>
      <w:bookmarkEnd w:id="0"/>
    </w:p>
    <w:p>
      <w:pPr>
        <w:pStyle w:val="Normal"/>
        <w:rPr>
          <w:lang w:val="en-NZ"/>
        </w:rPr>
      </w:pPr>
      <w:r>
        <w:rPr>
          <w:lang w:val="en-NZ"/>
        </w:rPr>
      </w:r>
    </w:p>
    <w:p>
      <w:pPr>
        <w:pStyle w:val="Normal"/>
        <w:rPr/>
      </w:pPr>
      <w:r>
        <w:rPr/>
        <w:t>Jan Rivers 14-10-2026</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w:charset w:val="00" w:characterSet="windows-1252"/>
    <w:family w:val="swiss"/>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N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hAnsiTheme="minorHAnsi"/>
        <w:kern w:val="2"/>
        <w:sz w:val="24"/>
        <w:szCs w:val="24"/>
        <w:lang w:val="en-N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009f"/>
    <w:pPr>
      <w:widowControl/>
      <w:bidi w:val="0"/>
      <w:spacing w:lineRule="auto" w:line="240" w:before="0" w:after="0"/>
      <w:jc w:val="start"/>
    </w:pPr>
    <w:rPr>
      <w:rFonts w:ascii="Aptos" w:hAnsi="Aptos" w:cs="Aptos" w:eastAsia="Aptos"/>
      <w:color w:val="auto"/>
      <w:kern w:val="0"/>
      <w:sz w:val="22"/>
      <w:szCs w:val="22"/>
      <w:lang w:val="en-IE" w:eastAsia="en-NZ" w:bidi="ar-SA"/>
      <w14:ligatures w14:val="none"/>
    </w:rPr>
  </w:style>
  <w:style w:type="paragraph" w:styleId="Heading1">
    <w:name w:val="heading 1"/>
    <w:basedOn w:val="Normal"/>
    <w:next w:val="Normal"/>
    <w:link w:val="Heading1Char"/>
    <w:uiPriority w:val="9"/>
    <w:qFormat/>
    <w:rsid w:val="00db0518"/>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db0518"/>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db0518"/>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db0518"/>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db0518"/>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db0518"/>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db0518"/>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db0518"/>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db0518"/>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unhideWhenUsed/>
    <w:qFormat/>
    <w:rPr/>
  </w:style>
  <w:style w:type="character" w:styleId="biographyChar" w:customStyle="1">
    <w:name w:val="biography Char"/>
    <w:basedOn w:val="DefaultParagraphFont"/>
    <w:link w:val="biography"/>
    <w:qFormat/>
    <w:rsid w:val="0039391e"/>
    <w:rPr>
      <w:rFonts w:ascii="Arial" w:hAnsi="Arial" w:cs="Arial"/>
      <w:i/>
      <w:iCs/>
      <w:sz w:val="22"/>
    </w:rPr>
  </w:style>
  <w:style w:type="character" w:styleId="bibliographyChar" w:customStyle="1">
    <w:name w:val="bibliography Char"/>
    <w:basedOn w:val="DefaultParagraphFont"/>
    <w:link w:val="Bibliography1"/>
    <w:qFormat/>
    <w:rsid w:val="00b10236"/>
    <w:rPr>
      <w:rFonts w:ascii="Times New Roman" w:hAnsi="Times New Roman" w:cs="Times New Roman"/>
      <w:kern w:val="0"/>
      <w:sz w:val="22"/>
      <w:szCs w:val="22"/>
      <w14:ligatures w14:val="none"/>
    </w:rPr>
  </w:style>
  <w:style w:type="character" w:styleId="Heading1Char" w:customStyle="1">
    <w:name w:val="Heading 1 Char"/>
    <w:basedOn w:val="DefaultParagraphFont"/>
    <w:link w:val="Heading1"/>
    <w:uiPriority w:val="9"/>
    <w:qFormat/>
    <w:rsid w:val="00db0518"/>
    <w:rPr>
      <w:rFonts w:ascii="Aptos Display" w:hAnsi="Aptos Display" w:eastAsia="" w:cs="" w:asciiTheme="majorHAnsi" w:cstheme="majorBidi" w:eastAsiaTheme="majorEastAsia" w:hAnsiTheme="majorHAnsi"/>
      <w:color w:themeColor="accent1" w:themeShade="bf" w:val="0F4761"/>
      <w:kern w:val="0"/>
      <w:sz w:val="40"/>
      <w:szCs w:val="40"/>
      <w:lang w:val="en-IE" w:eastAsia="en-NZ"/>
      <w14:ligatures w14:val="none"/>
    </w:rPr>
  </w:style>
  <w:style w:type="character" w:styleId="Heading2Char" w:customStyle="1">
    <w:name w:val="Heading 2 Char"/>
    <w:basedOn w:val="DefaultParagraphFont"/>
    <w:link w:val="Heading2"/>
    <w:uiPriority w:val="9"/>
    <w:semiHidden/>
    <w:qFormat/>
    <w:rsid w:val="00db0518"/>
    <w:rPr>
      <w:rFonts w:ascii="Aptos Display" w:hAnsi="Aptos Display" w:eastAsia="" w:cs="" w:asciiTheme="majorHAnsi" w:cstheme="majorBidi" w:eastAsiaTheme="majorEastAsia" w:hAnsiTheme="majorHAnsi"/>
      <w:color w:themeColor="accent1" w:themeShade="bf" w:val="0F4761"/>
      <w:kern w:val="0"/>
      <w:sz w:val="32"/>
      <w:szCs w:val="32"/>
      <w:lang w:val="en-IE" w:eastAsia="en-NZ"/>
      <w14:ligatures w14:val="none"/>
    </w:rPr>
  </w:style>
  <w:style w:type="character" w:styleId="Heading3Char" w:customStyle="1">
    <w:name w:val="Heading 3 Char"/>
    <w:basedOn w:val="DefaultParagraphFont"/>
    <w:link w:val="Heading3"/>
    <w:uiPriority w:val="9"/>
    <w:semiHidden/>
    <w:qFormat/>
    <w:rsid w:val="00db0518"/>
    <w:rPr>
      <w:rFonts w:eastAsia="" w:cs="" w:cstheme="majorBidi" w:eastAsiaTheme="majorEastAsia"/>
      <w:color w:themeColor="accent1" w:themeShade="bf" w:val="0F4761"/>
      <w:kern w:val="0"/>
      <w:sz w:val="28"/>
      <w:szCs w:val="28"/>
      <w:lang w:val="en-IE" w:eastAsia="en-NZ"/>
      <w14:ligatures w14:val="none"/>
    </w:rPr>
  </w:style>
  <w:style w:type="character" w:styleId="Heading4Char" w:customStyle="1">
    <w:name w:val="Heading 4 Char"/>
    <w:basedOn w:val="DefaultParagraphFont"/>
    <w:link w:val="Heading4"/>
    <w:uiPriority w:val="9"/>
    <w:semiHidden/>
    <w:qFormat/>
    <w:rsid w:val="00db0518"/>
    <w:rPr>
      <w:rFonts w:eastAsia="" w:cs="" w:cstheme="majorBidi" w:eastAsiaTheme="majorEastAsia"/>
      <w:i/>
      <w:iCs/>
      <w:color w:themeColor="accent1" w:themeShade="bf" w:val="0F4761"/>
      <w:kern w:val="0"/>
      <w:sz w:val="22"/>
      <w:szCs w:val="22"/>
      <w:lang w:val="en-IE" w:eastAsia="en-NZ"/>
      <w14:ligatures w14:val="none"/>
    </w:rPr>
  </w:style>
  <w:style w:type="character" w:styleId="Heading5Char" w:customStyle="1">
    <w:name w:val="Heading 5 Char"/>
    <w:basedOn w:val="DefaultParagraphFont"/>
    <w:link w:val="Heading5"/>
    <w:uiPriority w:val="9"/>
    <w:semiHidden/>
    <w:qFormat/>
    <w:rsid w:val="00db0518"/>
    <w:rPr>
      <w:rFonts w:eastAsia="" w:cs="" w:cstheme="majorBidi" w:eastAsiaTheme="majorEastAsia"/>
      <w:color w:themeColor="accent1" w:themeShade="bf" w:val="0F4761"/>
      <w:kern w:val="0"/>
      <w:sz w:val="22"/>
      <w:szCs w:val="22"/>
      <w:lang w:val="en-IE" w:eastAsia="en-NZ"/>
      <w14:ligatures w14:val="none"/>
    </w:rPr>
  </w:style>
  <w:style w:type="character" w:styleId="Heading6Char" w:customStyle="1">
    <w:name w:val="Heading 6 Char"/>
    <w:basedOn w:val="DefaultParagraphFont"/>
    <w:link w:val="Heading6"/>
    <w:uiPriority w:val="9"/>
    <w:semiHidden/>
    <w:qFormat/>
    <w:rsid w:val="00db0518"/>
    <w:rPr>
      <w:rFonts w:eastAsia="" w:cs="" w:cstheme="majorBidi" w:eastAsiaTheme="majorEastAsia"/>
      <w:i/>
      <w:iCs/>
      <w:color w:themeColor="text1" w:themeTint="a6" w:val="595959"/>
      <w:kern w:val="0"/>
      <w:sz w:val="22"/>
      <w:szCs w:val="22"/>
      <w:lang w:val="en-IE" w:eastAsia="en-NZ"/>
      <w14:ligatures w14:val="none"/>
    </w:rPr>
  </w:style>
  <w:style w:type="character" w:styleId="Heading7Char" w:customStyle="1">
    <w:name w:val="Heading 7 Char"/>
    <w:basedOn w:val="DefaultParagraphFont"/>
    <w:link w:val="Heading7"/>
    <w:uiPriority w:val="9"/>
    <w:semiHidden/>
    <w:qFormat/>
    <w:rsid w:val="00db0518"/>
    <w:rPr>
      <w:rFonts w:eastAsia="" w:cs="" w:cstheme="majorBidi" w:eastAsiaTheme="majorEastAsia"/>
      <w:color w:themeColor="text1" w:themeTint="a6" w:val="595959"/>
      <w:kern w:val="0"/>
      <w:sz w:val="22"/>
      <w:szCs w:val="22"/>
      <w:lang w:val="en-IE" w:eastAsia="en-NZ"/>
      <w14:ligatures w14:val="none"/>
    </w:rPr>
  </w:style>
  <w:style w:type="character" w:styleId="Heading8Char" w:customStyle="1">
    <w:name w:val="Heading 8 Char"/>
    <w:basedOn w:val="DefaultParagraphFont"/>
    <w:link w:val="Heading8"/>
    <w:uiPriority w:val="9"/>
    <w:semiHidden/>
    <w:qFormat/>
    <w:rsid w:val="00db0518"/>
    <w:rPr>
      <w:rFonts w:eastAsia="" w:cs="" w:cstheme="majorBidi" w:eastAsiaTheme="majorEastAsia"/>
      <w:i/>
      <w:iCs/>
      <w:color w:themeColor="text1" w:themeTint="d8" w:val="272727"/>
      <w:kern w:val="0"/>
      <w:sz w:val="22"/>
      <w:szCs w:val="22"/>
      <w:lang w:val="en-IE" w:eastAsia="en-NZ"/>
      <w14:ligatures w14:val="none"/>
    </w:rPr>
  </w:style>
  <w:style w:type="character" w:styleId="Heading9Char" w:customStyle="1">
    <w:name w:val="Heading 9 Char"/>
    <w:basedOn w:val="DefaultParagraphFont"/>
    <w:link w:val="Heading9"/>
    <w:uiPriority w:val="9"/>
    <w:semiHidden/>
    <w:qFormat/>
    <w:rsid w:val="00db0518"/>
    <w:rPr>
      <w:rFonts w:eastAsia="" w:cs="" w:cstheme="majorBidi" w:eastAsiaTheme="majorEastAsia"/>
      <w:color w:themeColor="text1" w:themeTint="d8" w:val="272727"/>
      <w:kern w:val="0"/>
      <w:sz w:val="22"/>
      <w:szCs w:val="22"/>
      <w:lang w:val="en-IE" w:eastAsia="en-NZ"/>
      <w14:ligatures w14:val="none"/>
    </w:rPr>
  </w:style>
  <w:style w:type="character" w:styleId="TitleChar" w:customStyle="1">
    <w:name w:val="Title Char"/>
    <w:basedOn w:val="DefaultParagraphFont"/>
    <w:link w:val="Title"/>
    <w:uiPriority w:val="10"/>
    <w:qFormat/>
    <w:rsid w:val="00db0518"/>
    <w:rPr>
      <w:rFonts w:ascii="Aptos Display" w:hAnsi="Aptos Display" w:eastAsia="" w:cs="" w:asciiTheme="majorHAnsi" w:cstheme="majorBidi" w:eastAsiaTheme="majorEastAsia" w:hAnsiTheme="majorHAnsi"/>
      <w:spacing w:val="-10"/>
      <w:kern w:val="2"/>
      <w:sz w:val="56"/>
      <w:szCs w:val="56"/>
      <w:lang w:val="en-IE" w:eastAsia="en-NZ"/>
      <w14:ligatures w14:val="none"/>
    </w:rPr>
  </w:style>
  <w:style w:type="character" w:styleId="SubtitleChar" w:customStyle="1">
    <w:name w:val="Subtitle Char"/>
    <w:basedOn w:val="DefaultParagraphFont"/>
    <w:link w:val="Subtitle"/>
    <w:uiPriority w:val="11"/>
    <w:qFormat/>
    <w:rsid w:val="00db0518"/>
    <w:rPr>
      <w:rFonts w:eastAsia="" w:cs="" w:cstheme="majorBidi" w:eastAsiaTheme="majorEastAsia"/>
      <w:color w:themeColor="text1" w:themeTint="a6" w:val="595959"/>
      <w:spacing w:val="15"/>
      <w:kern w:val="0"/>
      <w:sz w:val="28"/>
      <w:szCs w:val="28"/>
      <w:lang w:val="en-IE" w:eastAsia="en-NZ"/>
      <w14:ligatures w14:val="none"/>
    </w:rPr>
  </w:style>
  <w:style w:type="character" w:styleId="QuoteChar" w:customStyle="1">
    <w:name w:val="Quote Char"/>
    <w:basedOn w:val="DefaultParagraphFont"/>
    <w:link w:val="Quote"/>
    <w:uiPriority w:val="29"/>
    <w:qFormat/>
    <w:rsid w:val="00db0518"/>
    <w:rPr>
      <w:rFonts w:ascii="Aptos" w:hAnsi="Aptos" w:cs="Aptos"/>
      <w:i/>
      <w:iCs/>
      <w:color w:themeColor="text1" w:themeTint="bf" w:val="404040"/>
      <w:kern w:val="0"/>
      <w:sz w:val="22"/>
      <w:szCs w:val="22"/>
      <w:lang w:val="en-IE" w:eastAsia="en-NZ"/>
      <w14:ligatures w14:val="none"/>
    </w:rPr>
  </w:style>
  <w:style w:type="character" w:styleId="IntenseEmphasis">
    <w:name w:val="Intense Emphasis"/>
    <w:basedOn w:val="DefaultParagraphFont"/>
    <w:uiPriority w:val="21"/>
    <w:qFormat/>
    <w:rsid w:val="00db0518"/>
    <w:rPr>
      <w:i/>
      <w:iCs/>
      <w:color w:themeColor="accent1" w:themeShade="bf" w:val="0F4761"/>
    </w:rPr>
  </w:style>
  <w:style w:type="character" w:styleId="IntenseQuoteChar" w:customStyle="1">
    <w:name w:val="Intense Quote Char"/>
    <w:basedOn w:val="DefaultParagraphFont"/>
    <w:link w:val="IntenseQuote"/>
    <w:uiPriority w:val="30"/>
    <w:qFormat/>
    <w:rsid w:val="00db0518"/>
    <w:rPr>
      <w:rFonts w:ascii="Aptos" w:hAnsi="Aptos" w:cs="Aptos"/>
      <w:i/>
      <w:iCs/>
      <w:color w:themeColor="accent1" w:themeShade="bf" w:val="0F4761"/>
      <w:kern w:val="0"/>
      <w:sz w:val="22"/>
      <w:szCs w:val="22"/>
      <w:lang w:val="en-IE" w:eastAsia="en-NZ"/>
      <w14:ligatures w14:val="none"/>
    </w:rPr>
  </w:style>
  <w:style w:type="character" w:styleId="IntenseReference">
    <w:name w:val="Intense Reference"/>
    <w:basedOn w:val="DefaultParagraphFont"/>
    <w:uiPriority w:val="32"/>
    <w:qFormat/>
    <w:rsid w:val="00db0518"/>
    <w:rPr>
      <w:b/>
      <w:bCs/>
      <w:smallCaps/>
      <w:color w:themeColor="accent1" w:themeShade="bf" w:val="0F4761"/>
      <w:spacing w:val="5"/>
    </w:rPr>
  </w:style>
  <w:style w:type="character" w:styleId="Hyperlink">
    <w:name w:val="Hyperlink"/>
    <w:basedOn w:val="DefaultParagraphFont"/>
    <w:uiPriority w:val="99"/>
    <w:unhideWhenUsed/>
    <w:rsid w:val="00db0518"/>
    <w:rPr>
      <w:color w:themeColor="hyperlink" w:val="467886"/>
      <w:u w:val="single"/>
    </w:rPr>
  </w:style>
  <w:style w:type="character" w:styleId="UnresolvedMention">
    <w:name w:val="Unresolved Mention"/>
    <w:basedOn w:val="DefaultParagraphFont"/>
    <w:uiPriority w:val="99"/>
    <w:semiHidden/>
    <w:unhideWhenUsed/>
    <w:qFormat/>
    <w:rsid w:val="00db051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iography" w:customStyle="1">
    <w:name w:val="biography"/>
    <w:basedOn w:val="Bibliography"/>
    <w:link w:val="biographyChar"/>
    <w:qFormat/>
    <w:rsid w:val="0039391e"/>
    <w:pPr>
      <w:ind w:hanging="720" w:start="720"/>
    </w:pPr>
    <w:rPr>
      <w:rFonts w:ascii="Arial" w:hAnsi="Arial" w:cs="Arial"/>
      <w:i/>
      <w:iCs/>
    </w:rPr>
  </w:style>
  <w:style w:type="paragraph" w:styleId="Bibliography">
    <w:name w:val="Bibliography"/>
    <w:basedOn w:val="Normal"/>
    <w:next w:val="Normal"/>
    <w:uiPriority w:val="37"/>
    <w:semiHidden/>
    <w:unhideWhenUsed/>
    <w:qFormat/>
    <w:rsid w:val="0039391e"/>
    <w:pPr/>
    <w:rPr/>
  </w:style>
  <w:style w:type="paragraph" w:styleId="Bibliography1" w:customStyle="1">
    <w:name w:val="Bibliography1"/>
    <w:basedOn w:val="Bibliography"/>
    <w:link w:val="bibliographyChar"/>
    <w:qFormat/>
    <w:rsid w:val="00b10236"/>
    <w:pPr>
      <w:ind w:hanging="720" w:start="720"/>
    </w:pPr>
    <w:rPr>
      <w:rFonts w:ascii="Times New Roman" w:hAnsi="Times New Roman" w:cs="Times New Roman"/>
      <w:lang w:val="en-NZ" w:eastAsia="en-US"/>
    </w:rPr>
  </w:style>
  <w:style w:type="paragraph" w:styleId="Title">
    <w:name w:val="Title"/>
    <w:basedOn w:val="Normal"/>
    <w:next w:val="Normal"/>
    <w:link w:val="TitleChar"/>
    <w:uiPriority w:val="10"/>
    <w:qFormat/>
    <w:rsid w:val="00db0518"/>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db0518"/>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db0518"/>
    <w:pPr>
      <w:spacing w:before="160" w:after="160"/>
      <w:jc w:val="center"/>
    </w:pPr>
    <w:rPr>
      <w:i/>
      <w:iCs/>
      <w:color w:themeColor="text1" w:themeTint="bf" w:val="404040"/>
    </w:rPr>
  </w:style>
  <w:style w:type="paragraph" w:styleId="ListParagraph">
    <w:name w:val="List Paragraph"/>
    <w:basedOn w:val="Normal"/>
    <w:uiPriority w:val="34"/>
    <w:qFormat/>
    <w:rsid w:val="00db0518"/>
    <w:pPr>
      <w:spacing w:before="0" w:after="0"/>
      <w:ind w:start="720"/>
      <w:contextualSpacing/>
    </w:pPr>
    <w:rPr/>
  </w:style>
  <w:style w:type="paragraph" w:styleId="IntenseQuote">
    <w:name w:val="Intense Quote"/>
    <w:basedOn w:val="Normal"/>
    <w:next w:val="Normal"/>
    <w:link w:val="IntenseQuoteChar"/>
    <w:uiPriority w:val="30"/>
    <w:qFormat/>
    <w:rsid w:val="00db0518"/>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theguardian.com/books/2023/feb/19/time-to-think-by-hannah-barnes-review-what-went-wrong-at-gids" TargetMode="External"/><Relationship Id="rId4" Type="http://schemas.openxmlformats.org/officeDocument/2006/relationships/hyperlink" Target="https://www.dailymail.com/news/article-9958305/Whistleblower-wins-20-000-damages-Englands-NHS-child-gender-clinic.html" TargetMode="External"/><Relationship Id="rId5" Type="http://schemas.openxmlformats.org/officeDocument/2006/relationships/hyperlink" Target="https://genderblog.net/nhs-knew-of-concerns-about-trans-dr-in-2020/" TargetMode="External"/><Relationship Id="rId6" Type="http://schemas.openxmlformats.org/officeDocument/2006/relationships/hyperlink" Target="https://genderblog.net/peggie-v-rcn-day-7-closing-submissions/" TargetMode="External"/><Relationship Id="rId7" Type="http://schemas.openxmlformats.org/officeDocument/2006/relationships/hyperlink" Target="https://pbanz.org.nz/common/Uploaded%20files/Standards/Psychotherapist%20Core%20Clinical%20Competencies.pdf" TargetMode="External"/><Relationship Id="rId8" Type="http://schemas.openxmlformats.org/officeDocument/2006/relationships/hyperlink" Target="https://www.thetimes.co.uk/article/it-feels-like-conversion-therapy-for-gay-children-say-clinicians-pvsckdvq2" TargetMode="External"/><Relationship Id="rId9" Type="http://schemas.openxmlformats.org/officeDocument/2006/relationships/hyperlink" Target="https://03a125f3-951c-480b-9211-a4f40de67b57.usrfiles.com/ugd/03a125_dc3f6273551c4926bb34e4aef4c646d5.pdf" TargetMode="External"/><Relationship Id="rId10" Type="http://schemas.openxmlformats.org/officeDocument/2006/relationships/hyperlink" Target="https://03a125f3-951c-480b-9211-a4f40de67b57.usrfiles.com/ugd/03a125_f105702b57dd4866b8cd918e9e9700a3.pdf" TargetMode="External"/><Relationship Id="rId11" Type="http://schemas.openxmlformats.org/officeDocument/2006/relationships/hyperlink" Target="https://doi.org/10.1007/s10508-020-01844-2" TargetMode="External"/><Relationship Id="rId12" Type="http://schemas.openxmlformats.org/officeDocument/2006/relationships/hyperlink" Target="https://03a125f3-951c-480b-9211-a4f40de67b57.usrfiles.com/ugd/03a125_dc3f6273551c4926bb34e4aef4c646d5.pdf" TargetMode="External"/><Relationship Id="rId13" Type="http://schemas.openxmlformats.org/officeDocument/2006/relationships/hyperlink" Target="https://www.youtube.com/watch?v=9BHdEIsS_zk" TargetMode="External"/><Relationship Id="rId14" Type="http://schemas.openxmlformats.org/officeDocument/2006/relationships/hyperlink" Target="https://journals.sagepub.com/doi/full/10.1177/26344041241269298" TargetMode="External"/><Relationship Id="rId15" Type="http://schemas.openxmlformats.org/officeDocument/2006/relationships/hyperlink" Target="https://patha.nz/resources-and-training/clinical-guidelines" TargetMode="External"/><Relationship Id="rId16" Type="http://schemas.openxmlformats.org/officeDocument/2006/relationships/hyperlink" Target="https://genderminorities.com/wp-content/uploads/2023/03/Primary-Care-GAHT-Guidelines_Final_Web.pdf" TargetMode="External"/><Relationship Id="rId17" Type="http://schemas.openxmlformats.org/officeDocument/2006/relationships/hyperlink" Target="https://journals.sagepub.com/doi/full/10.1177/26344041241269298" TargetMode="Externa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LibreOffice/25.2.7.2$Windows_X86_64 LibreOffice_project/5cbfd1ab6520636bb5f7b99185aa69bd7456825d</Application>
  <AppVersion>15.0000</AppVersion>
  <Pages>4</Pages>
  <Words>1753</Words>
  <Characters>9775</Characters>
  <CharactersWithSpaces>11560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2026-10-14T02:00:00Z</dcterms:created>
  <dc:creator>Jan Rivers</dc:creator>
  <dc:description/>
  <dc:language>en-AU</dc:language>
  <cp:lastModifiedBy/>
  <dcterms:modified xsi:type="dcterms:W3CDTF">2026-10-14T15:43:02Z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